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61C" w:rsidRDefault="0064761C" w:rsidP="00065A48">
      <w:pPr>
        <w:jc w:val="both"/>
        <w:rPr>
          <w:rFonts w:ascii="Times New Roman" w:hAnsi="Times New Roman"/>
          <w:sz w:val="20"/>
          <w:szCs w:val="20"/>
        </w:rPr>
      </w:pPr>
      <w:bookmarkStart w:id="0" w:name="_Hlk145925278"/>
    </w:p>
    <w:p w:rsidR="0064761C" w:rsidRDefault="0064761C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64761C" w:rsidRDefault="0064761C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6633F6" w:rsidRPr="003C5AA5" w:rsidRDefault="00BF6A44">
      <w:pPr>
        <w:ind w:left="6372"/>
        <w:jc w:val="both"/>
        <w:rPr>
          <w:rFonts w:ascii="Times New Roman" w:hAnsi="Times New Roman"/>
        </w:rPr>
      </w:pPr>
      <w:r w:rsidRPr="003C5AA5">
        <w:rPr>
          <w:rFonts w:ascii="Times New Roman" w:hAnsi="Times New Roman"/>
          <w:sz w:val="20"/>
          <w:szCs w:val="20"/>
        </w:rPr>
        <w:t>Додаток до листа від __.__.202</w:t>
      </w:r>
      <w:r w:rsidR="00FE2B86">
        <w:rPr>
          <w:rFonts w:ascii="Times New Roman" w:hAnsi="Times New Roman"/>
          <w:sz w:val="20"/>
          <w:szCs w:val="20"/>
        </w:rPr>
        <w:t>4</w:t>
      </w:r>
    </w:p>
    <w:p w:rsidR="006633F6" w:rsidRPr="003C5AA5" w:rsidRDefault="00BF6A44">
      <w:pPr>
        <w:pStyle w:val="11"/>
        <w:tabs>
          <w:tab w:val="left" w:pos="14542"/>
        </w:tabs>
        <w:spacing w:before="0" w:after="0"/>
        <w:ind w:left="5664" w:firstLine="708"/>
        <w:jc w:val="both"/>
      </w:pPr>
      <w:r w:rsidRPr="003C5AA5">
        <w:rPr>
          <w:sz w:val="20"/>
          <w:szCs w:val="20"/>
        </w:rPr>
        <w:t>№ ______/_______________</w:t>
      </w:r>
    </w:p>
    <w:bookmarkEnd w:id="0"/>
    <w:p w:rsidR="00BA77DE" w:rsidRPr="003C5AA5" w:rsidRDefault="00BA77DE" w:rsidP="00BA77DE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BB5148" w:rsidRDefault="00BB5148" w:rsidP="00BB5148">
      <w:pPr>
        <w:ind w:left="5660" w:firstLine="700"/>
        <w:jc w:val="right"/>
        <w:rPr>
          <w:i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19"/>
        <w:gridCol w:w="2179"/>
        <w:gridCol w:w="7261"/>
      </w:tblGrid>
      <w:tr w:rsidR="00BA77DE" w:rsidRPr="00E57D3E" w:rsidTr="00921976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BA77DE">
              <w:rPr>
                <w:rFonts w:cs="Times New Roman"/>
                <w:b/>
              </w:rPr>
              <w:t>Обгрунтування</w:t>
            </w:r>
            <w:proofErr w:type="spellEnd"/>
            <w:r w:rsidRPr="00BA77DE">
              <w:rPr>
                <w:rFonts w:cs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</w:tc>
      </w:tr>
      <w:tr w:rsidR="00BA77DE" w:rsidRPr="00E57D3E" w:rsidTr="00921976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jc w:val="both"/>
              <w:rPr>
                <w:rFonts w:ascii="Times New Roman" w:hAnsi="Times New Roman" w:cs="Times New Roman"/>
              </w:rPr>
            </w:pPr>
            <w:r w:rsidRPr="00BA77DE">
              <w:rPr>
                <w:b/>
              </w:rPr>
              <w:t>Послуги з заправки та відновлення картриджів</w:t>
            </w:r>
            <w:r w:rsidRPr="00BA77DE">
              <w:rPr>
                <w:rFonts w:ascii="Times New Roman" w:hAnsi="Times New Roman"/>
                <w:b/>
              </w:rPr>
              <w:t xml:space="preserve"> (код за ДК 021:2015 –</w:t>
            </w:r>
            <w:r>
              <w:rPr>
                <w:b/>
              </w:rPr>
              <w:t>50310000-1</w:t>
            </w:r>
            <w:r w:rsidRPr="00BA77DE">
              <w:rPr>
                <w:b/>
              </w:rPr>
              <w:t xml:space="preserve">  </w:t>
            </w:r>
            <w:r>
              <w:rPr>
                <w:b/>
              </w:rPr>
              <w:t>«</w:t>
            </w:r>
            <w:r w:rsidRPr="00BA77DE">
              <w:rPr>
                <w:b/>
              </w:rPr>
              <w:t>Технічне обслуговування і ремонт офісної техніки</w:t>
            </w:r>
            <w:r>
              <w:rPr>
                <w:b/>
              </w:rPr>
              <w:t>»</w:t>
            </w:r>
            <w:r w:rsidRPr="00BA77DE">
              <w:rPr>
                <w:rFonts w:ascii="Times New Roman" w:hAnsi="Times New Roman"/>
                <w:b/>
              </w:rPr>
              <w:t>)</w:t>
            </w:r>
          </w:p>
        </w:tc>
      </w:tr>
      <w:tr w:rsidR="00BA77DE" w:rsidRPr="00E57D3E" w:rsidTr="0092197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1B0A7B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1B0A7B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1B0A7B" w:rsidRDefault="00BA77DE" w:rsidP="00BA77DE">
            <w:pPr>
              <w:pStyle w:val="rvps2"/>
              <w:spacing w:before="0" w:after="0"/>
              <w:jc w:val="both"/>
              <w:rPr>
                <w:b/>
                <w:lang w:val="uk-UA"/>
              </w:rPr>
            </w:pPr>
            <w:r w:rsidRPr="001B0A7B">
              <w:rPr>
                <w:rFonts w:eastAsia="Times New Roman" w:cs="Times New Roman"/>
                <w:iCs/>
                <w:lang w:val="uk-UA" w:eastAsia="uk-UA" w:bidi="ar-SA"/>
              </w:rPr>
              <w:t>Найменування послуг:</w:t>
            </w:r>
            <w:r w:rsidRPr="001B0A7B">
              <w:rPr>
                <w:lang w:val="uk-UA"/>
              </w:rPr>
              <w:t xml:space="preserve"> </w:t>
            </w:r>
            <w:r w:rsidRPr="001B0A7B">
              <w:rPr>
                <w:b/>
                <w:lang w:val="uk-UA"/>
              </w:rPr>
              <w:t xml:space="preserve">Послуги з заправки та відновлення картриджів. </w:t>
            </w:r>
            <w:bookmarkStart w:id="1" w:name="_GoBack"/>
            <w:bookmarkEnd w:id="1"/>
          </w:p>
          <w:p w:rsidR="00BA77DE" w:rsidRPr="001B0A7B" w:rsidRDefault="001B0A7B" w:rsidP="001B0A7B">
            <w:pPr>
              <w:shd w:val="clear" w:color="auto" w:fill="FFFFFF"/>
              <w:jc w:val="both"/>
            </w:pPr>
            <w:r w:rsidRPr="001B0A7B">
              <w:t>Кількість надання послуг</w:t>
            </w:r>
            <w:r w:rsidR="00BA77DE" w:rsidRPr="001B0A7B">
              <w:t xml:space="preserve"> </w:t>
            </w:r>
            <w:r w:rsidR="00BA77DE" w:rsidRPr="001B0A7B">
              <w:rPr>
                <w:b/>
              </w:rPr>
              <w:t xml:space="preserve">– </w:t>
            </w:r>
            <w:r w:rsidRPr="001B0A7B">
              <w:rPr>
                <w:b/>
              </w:rPr>
              <w:t xml:space="preserve">1754 </w:t>
            </w:r>
            <w:r w:rsidR="00BA77DE" w:rsidRPr="001B0A7B">
              <w:rPr>
                <w:b/>
              </w:rPr>
              <w:t xml:space="preserve"> послуг.</w:t>
            </w:r>
            <w:r w:rsidR="00BA77DE" w:rsidRPr="001B0A7B">
              <w:t xml:space="preserve"> </w:t>
            </w:r>
            <w:r w:rsidR="00BA77DE" w:rsidRPr="001B0A7B">
              <w:rPr>
                <w:b/>
              </w:rPr>
              <w:t xml:space="preserve"> </w:t>
            </w:r>
          </w:p>
          <w:p w:rsidR="00BA77DE" w:rsidRPr="001B0A7B" w:rsidRDefault="00BA77DE" w:rsidP="00BA77DE">
            <w:pPr>
              <w:tabs>
                <w:tab w:val="left" w:pos="0"/>
              </w:tabs>
              <w:overflowPunct w:val="0"/>
              <w:jc w:val="both"/>
              <w:rPr>
                <w:b/>
              </w:rPr>
            </w:pPr>
            <w:r w:rsidRPr="001B0A7B">
              <w:t>Місце надання послуг:</w:t>
            </w:r>
            <w:r w:rsidRPr="001B0A7B">
              <w:rPr>
                <w:rFonts w:eastAsiaTheme="minorHAnsi"/>
                <w:b/>
                <w:lang w:eastAsia="en-US"/>
              </w:rPr>
              <w:t xml:space="preserve"> </w:t>
            </w:r>
            <w:r w:rsidRPr="001B0A7B">
              <w:rPr>
                <w:b/>
              </w:rPr>
              <w:t xml:space="preserve">61057, Україна, Харківська обл.,   </w:t>
            </w:r>
            <w:r w:rsidRPr="001B0A7B">
              <w:rPr>
                <w:b/>
              </w:rPr>
              <w:br/>
            </w:r>
            <w:r w:rsidR="001B0A7B" w:rsidRPr="001B0A7B">
              <w:rPr>
                <w:b/>
              </w:rPr>
              <w:t xml:space="preserve">м. </w:t>
            </w:r>
            <w:r w:rsidRPr="001B0A7B">
              <w:rPr>
                <w:b/>
              </w:rPr>
              <w:t xml:space="preserve">Харків, </w:t>
            </w:r>
            <w:r w:rsidR="001B0A7B" w:rsidRPr="001B0A7B">
              <w:rPr>
                <w:b/>
              </w:rPr>
              <w:t xml:space="preserve"> </w:t>
            </w:r>
            <w:r w:rsidRPr="001B0A7B">
              <w:rPr>
                <w:b/>
              </w:rPr>
              <w:t>вул. Григорія Сковороди</w:t>
            </w:r>
            <w:r w:rsidR="001B0A7B" w:rsidRPr="001B0A7B">
              <w:rPr>
                <w:b/>
              </w:rPr>
              <w:t>, буд. 46</w:t>
            </w:r>
            <w:r w:rsidRPr="001B0A7B">
              <w:rPr>
                <w:b/>
              </w:rPr>
              <w:t>).</w:t>
            </w:r>
          </w:p>
          <w:p w:rsidR="00BA77DE" w:rsidRPr="001B0A7B" w:rsidRDefault="00BA77DE" w:rsidP="00BA77DE">
            <w:pPr>
              <w:tabs>
                <w:tab w:val="left" w:pos="0"/>
              </w:tabs>
              <w:overflowPunct w:val="0"/>
              <w:jc w:val="both"/>
              <w:rPr>
                <w:rFonts w:ascii="Times New Roman" w:hAnsi="Times New Roman" w:cs="Times New Roman"/>
              </w:rPr>
            </w:pPr>
            <w:r w:rsidRPr="001B0A7B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робіт чи надання послуг: </w:t>
            </w:r>
            <w:r w:rsidR="001B0A7B" w:rsidRPr="001B0A7B">
              <w:rPr>
                <w:b/>
              </w:rPr>
              <w:t xml:space="preserve"> протягом 2025 року  (до 31.12.2025</w:t>
            </w:r>
            <w:r w:rsidRPr="001B0A7B">
              <w:rPr>
                <w:b/>
              </w:rPr>
              <w:t xml:space="preserve"> включно).</w:t>
            </w:r>
          </w:p>
          <w:p w:rsidR="00BA77DE" w:rsidRPr="001B0A7B" w:rsidRDefault="00BA77DE" w:rsidP="00BA77DE">
            <w:pPr>
              <w:jc w:val="both"/>
              <w:rPr>
                <w:rFonts w:ascii="Times New Roman" w:hAnsi="Times New Roman" w:cs="Times New Roman"/>
              </w:rPr>
            </w:pPr>
            <w:r w:rsidRPr="001B0A7B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BA77DE" w:rsidRPr="00E57D3E" w:rsidTr="00921976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BA77DE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BA77DE">
              <w:rPr>
                <w:rFonts w:cs="Times New Roman"/>
                <w:b/>
              </w:rPr>
              <w:t>Обгрунтування</w:t>
            </w:r>
            <w:proofErr w:type="spellEnd"/>
            <w:r w:rsidRPr="00BA77DE">
              <w:rPr>
                <w:rFonts w:cs="Times New Roman"/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DE" w:rsidRPr="00BA77DE" w:rsidRDefault="00BA77DE" w:rsidP="00BA77DE">
            <w:pPr>
              <w:jc w:val="both"/>
              <w:rPr>
                <w:rFonts w:ascii="Times New Roman" w:hAnsi="Times New Roman" w:cs="Times New Roman"/>
              </w:rPr>
            </w:pPr>
            <w:r w:rsidRPr="00BA77DE">
              <w:rPr>
                <w:rFonts w:ascii="Times New Roman" w:hAnsi="Times New Roman" w:cs="Times New Roman"/>
              </w:rPr>
              <w:t>Очікувана вартість предмета закупівлі розрахована з  урахуванням пункту 1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275.</w:t>
            </w:r>
          </w:p>
          <w:p w:rsidR="00BA77DE" w:rsidRPr="00BA77DE" w:rsidRDefault="00BA77DE" w:rsidP="00BA77DE">
            <w:pPr>
              <w:pStyle w:val="afa"/>
              <w:spacing w:beforeAutospacing="0" w:afterAutospacing="0"/>
              <w:jc w:val="both"/>
              <w:rPr>
                <w:b/>
                <w:color w:val="000000"/>
              </w:rPr>
            </w:pPr>
            <w:r w:rsidRPr="00BA77DE">
              <w:t xml:space="preserve">Загальна очікувана </w:t>
            </w:r>
            <w:r w:rsidRPr="001B0A7B">
              <w:t xml:space="preserve">вартість закупівлі: </w:t>
            </w:r>
            <w:r w:rsidRPr="001B0A7B">
              <w:rPr>
                <w:b/>
                <w:color w:val="000000"/>
              </w:rPr>
              <w:t xml:space="preserve">Послуги з заправки та відновлення картриджів – </w:t>
            </w:r>
            <w:r w:rsidR="001B0A7B" w:rsidRPr="001B0A7B">
              <w:rPr>
                <w:b/>
              </w:rPr>
              <w:t>807 030,00</w:t>
            </w:r>
            <w:r w:rsidR="001B0A7B" w:rsidRPr="001B0A7B">
              <w:t xml:space="preserve"> </w:t>
            </w:r>
            <w:r w:rsidR="001B0A7B" w:rsidRPr="001B0A7B">
              <w:rPr>
                <w:b/>
                <w:color w:val="000000"/>
              </w:rPr>
              <w:t>грн (вісімсот сім тисяч тридцять грн 00 коп.).</w:t>
            </w:r>
          </w:p>
        </w:tc>
      </w:tr>
    </w:tbl>
    <w:p w:rsidR="00BA77DE" w:rsidRDefault="00BA77DE" w:rsidP="00BA77DE">
      <w:pPr>
        <w:tabs>
          <w:tab w:val="left" w:pos="567"/>
        </w:tabs>
        <w:jc w:val="center"/>
        <w:rPr>
          <w:b/>
        </w:rPr>
      </w:pPr>
    </w:p>
    <w:p w:rsidR="00BA77DE" w:rsidRDefault="00BA77DE" w:rsidP="00BB5148">
      <w:pPr>
        <w:ind w:left="5660" w:firstLine="700"/>
        <w:jc w:val="right"/>
        <w:rPr>
          <w:i/>
          <w:sz w:val="20"/>
          <w:szCs w:val="20"/>
        </w:rPr>
      </w:pPr>
    </w:p>
    <w:p w:rsidR="00BB5148" w:rsidRPr="00DB4DAA" w:rsidRDefault="00BB5148" w:rsidP="00BB5148">
      <w:pPr>
        <w:ind w:left="5660" w:firstLine="700"/>
        <w:jc w:val="right"/>
        <w:rPr>
          <w:i/>
          <w:sz w:val="20"/>
          <w:szCs w:val="20"/>
        </w:rPr>
      </w:pPr>
    </w:p>
    <w:p w:rsidR="00BB5148" w:rsidRDefault="00BB5148" w:rsidP="00BB5148">
      <w:pPr>
        <w:tabs>
          <w:tab w:val="left" w:pos="567"/>
        </w:tabs>
        <w:jc w:val="center"/>
        <w:rPr>
          <w:b/>
          <w:i/>
        </w:rPr>
      </w:pPr>
      <w:r>
        <w:rPr>
          <w:b/>
        </w:rPr>
        <w:t>ТЕХНІЧНА СПЕЦИФІКАЦІЯ ДО ПРЕДМЕТА ЗАКУПІВЛІ</w:t>
      </w:r>
    </w:p>
    <w:p w:rsidR="00BB5148" w:rsidRDefault="00BB5148" w:rsidP="00BB51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jc w:val="center"/>
        <w:rPr>
          <w:b/>
          <w:i/>
        </w:rPr>
      </w:pPr>
      <w:r>
        <w:rPr>
          <w:b/>
          <w:i/>
        </w:rPr>
        <w:t>(інформація про необхід</w:t>
      </w:r>
      <w:r>
        <w:rPr>
          <w:i/>
        </w:rPr>
        <w:t>н</w:t>
      </w:r>
      <w:r>
        <w:rPr>
          <w:b/>
          <w:i/>
        </w:rPr>
        <w:t xml:space="preserve">і технічні, якісні та кількісні характеристики, </w:t>
      </w:r>
      <w:r>
        <w:rPr>
          <w:b/>
          <w:i/>
        </w:rPr>
        <w:br/>
        <w:t>опис предмета закупівлі)</w:t>
      </w:r>
    </w:p>
    <w:p w:rsidR="00BB5148" w:rsidRDefault="00BB5148" w:rsidP="00BB51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jc w:val="center"/>
        <w:rPr>
          <w:b/>
          <w:i/>
        </w:rPr>
      </w:pPr>
    </w:p>
    <w:p w:rsidR="00BB5148" w:rsidRPr="00DB4DAA" w:rsidRDefault="00BB5148" w:rsidP="00BB5148">
      <w:pPr>
        <w:jc w:val="center"/>
        <w:rPr>
          <w:b/>
        </w:rPr>
      </w:pPr>
      <w:r>
        <w:t xml:space="preserve">Назва предмету закупівлі:  </w:t>
      </w:r>
      <w:r w:rsidRPr="00DB4DAA">
        <w:rPr>
          <w:b/>
        </w:rPr>
        <w:t xml:space="preserve">Послуги </w:t>
      </w:r>
      <w:r w:rsidRPr="00225341">
        <w:rPr>
          <w:b/>
        </w:rPr>
        <w:t>з</w:t>
      </w:r>
      <w:r>
        <w:rPr>
          <w:b/>
        </w:rPr>
        <w:t xml:space="preserve"> </w:t>
      </w:r>
      <w:r w:rsidRPr="00DB4DAA">
        <w:rPr>
          <w:b/>
        </w:rPr>
        <w:t>заправки та відновлення картриджів</w:t>
      </w:r>
    </w:p>
    <w:p w:rsidR="00BB5148" w:rsidRPr="003E2AA9" w:rsidRDefault="00BB5148" w:rsidP="00BB5148">
      <w:pPr>
        <w:jc w:val="center"/>
        <w:rPr>
          <w:b/>
        </w:rPr>
      </w:pPr>
      <w:r w:rsidRPr="00DB4DAA">
        <w:rPr>
          <w:b/>
          <w:bCs/>
        </w:rPr>
        <w:t xml:space="preserve">(код ДК 021:2015 – </w:t>
      </w:r>
      <w:r w:rsidRPr="00DB4DAA">
        <w:rPr>
          <w:b/>
        </w:rPr>
        <w:t xml:space="preserve">50310000-1: </w:t>
      </w:r>
      <w:r>
        <w:rPr>
          <w:b/>
        </w:rPr>
        <w:t xml:space="preserve"> </w:t>
      </w:r>
      <w:r w:rsidRPr="00DB4DAA">
        <w:rPr>
          <w:b/>
        </w:rPr>
        <w:t>Технічне обслуговування і ремонт офісної техніки</w:t>
      </w:r>
      <w:r>
        <w:rPr>
          <w:b/>
        </w:rPr>
        <w:t>)</w:t>
      </w:r>
    </w:p>
    <w:p w:rsidR="00BB5148" w:rsidRPr="0091546E" w:rsidRDefault="00BB5148" w:rsidP="00BB51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jc w:val="center"/>
        <w:rPr>
          <w:b/>
          <w:i/>
        </w:rPr>
      </w:pPr>
    </w:p>
    <w:p w:rsidR="001B0A7B" w:rsidRPr="00BC0A48" w:rsidRDefault="001B0A7B" w:rsidP="001B0A7B">
      <w:pPr>
        <w:shd w:val="clear" w:color="auto" w:fill="FFFFFF"/>
        <w:outlineLvl w:val="0"/>
        <w:rPr>
          <w:b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833"/>
        <w:gridCol w:w="1121"/>
        <w:gridCol w:w="992"/>
        <w:gridCol w:w="1134"/>
        <w:gridCol w:w="1253"/>
      </w:tblGrid>
      <w:tr w:rsidR="001B0A7B" w:rsidRPr="00BC0A48" w:rsidTr="00B07E2D">
        <w:trPr>
          <w:trHeight w:val="62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№ з/п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ind w:left="-108" w:right="283"/>
              <w:jc w:val="center"/>
            </w:pPr>
            <w:r w:rsidRPr="00BC0A48">
              <w:rPr>
                <w:bCs/>
                <w:sz w:val="22"/>
                <w:szCs w:val="22"/>
              </w:rPr>
              <w:t>Найменування послуг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ind w:left="-73" w:right="-129"/>
              <w:jc w:val="center"/>
            </w:pPr>
            <w:r w:rsidRPr="00BC0A48">
              <w:rPr>
                <w:bCs/>
                <w:sz w:val="22"/>
                <w:szCs w:val="22"/>
              </w:rPr>
              <w:t>Одиниці виміру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ind w:left="-73" w:right="-129"/>
              <w:jc w:val="center"/>
            </w:pPr>
            <w:r w:rsidRPr="00BC0A48">
              <w:rPr>
                <w:bCs/>
                <w:sz w:val="22"/>
                <w:szCs w:val="22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ind w:left="-73" w:right="-129"/>
              <w:jc w:val="center"/>
            </w:pPr>
            <w:r w:rsidRPr="00BC0A48">
              <w:rPr>
                <w:bCs/>
                <w:sz w:val="22"/>
                <w:szCs w:val="22"/>
              </w:rPr>
              <w:t>Ціна за одиницю</w:t>
            </w:r>
          </w:p>
          <w:p w:rsidR="001B0A7B" w:rsidRPr="00BC0A48" w:rsidRDefault="001B0A7B" w:rsidP="00B07E2D">
            <w:pPr>
              <w:ind w:left="-73" w:right="-129"/>
              <w:jc w:val="center"/>
            </w:pPr>
            <w:r w:rsidRPr="00BC0A48">
              <w:rPr>
                <w:bCs/>
                <w:sz w:val="22"/>
                <w:szCs w:val="22"/>
              </w:rPr>
              <w:t>без ПДВ,</w:t>
            </w:r>
          </w:p>
          <w:p w:rsidR="001B0A7B" w:rsidRPr="00BC0A48" w:rsidRDefault="001B0A7B" w:rsidP="00B07E2D">
            <w:pPr>
              <w:ind w:left="-73" w:right="-129"/>
              <w:jc w:val="center"/>
            </w:pPr>
            <w:r w:rsidRPr="00BC0A48">
              <w:rPr>
                <w:bCs/>
                <w:sz w:val="22"/>
                <w:szCs w:val="22"/>
              </w:rPr>
              <w:t>грн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bCs/>
                <w:sz w:val="22"/>
                <w:szCs w:val="22"/>
              </w:rPr>
              <w:t>Загальна сума,</w:t>
            </w:r>
          </w:p>
          <w:p w:rsidR="001B0A7B" w:rsidRPr="00BC0A48" w:rsidRDefault="001B0A7B" w:rsidP="00B07E2D">
            <w:pPr>
              <w:ind w:left="-73" w:right="-129"/>
              <w:jc w:val="center"/>
            </w:pPr>
            <w:r w:rsidRPr="00BC0A48">
              <w:rPr>
                <w:bCs/>
                <w:sz w:val="22"/>
                <w:szCs w:val="22"/>
              </w:rPr>
              <w:t xml:space="preserve">без ПДВ, </w:t>
            </w:r>
          </w:p>
          <w:p w:rsidR="001B0A7B" w:rsidRPr="00BC0A48" w:rsidRDefault="001B0A7B" w:rsidP="00B07E2D">
            <w:pPr>
              <w:ind w:left="-73" w:right="-129"/>
              <w:jc w:val="center"/>
            </w:pPr>
            <w:r w:rsidRPr="00BC0A48">
              <w:rPr>
                <w:bCs/>
                <w:sz w:val="22"/>
                <w:szCs w:val="22"/>
              </w:rPr>
              <w:t>грн</w:t>
            </w:r>
          </w:p>
        </w:tc>
      </w:tr>
      <w:tr w:rsidR="001B0A7B" w:rsidRPr="00BC0A48" w:rsidTr="00B07E2D">
        <w:trPr>
          <w:trHeight w:val="6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1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WorkCentre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3345 (код 106R03625)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7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2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WorkCentre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3345 (код 106R03625)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7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3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WorkCentre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3335 (код 106R03623)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4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XeroxWorkCentre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3335 (код 106R03623)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70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5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Відновленням драм-картриджа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WorkCentre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3335/3345  (код 101R00555)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WorkCentre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3225 (код 106R02778)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70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7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WorkCentre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3225 (код 106R02778)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71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8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Відновленням драм-картриджа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WorkCentre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3225 (код 101R00474)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9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9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Canon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i-SENSYS MF4410 (код 3500B002)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10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Canon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i-SENSYS MF4410 (код 3500B002)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11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Canon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i-SENSYS MF3010 (код 3484B002)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12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Canon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i-SENSYS 3010 (код 3484B002)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13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Sl-M2070 (код SU812A)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14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 до БФП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Sl-M2070 (код SU812A)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15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SCX 3205 (код SU754A)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16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SCX 3205 (код SU754A)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17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принтера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ML-2250 (код ML 2250) 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18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принтера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ML-2250 (код ML 2250)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19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SCX 4200 (код SV184A)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20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SCX 4200 (код SV184A)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21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принтера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Phaser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3124 (код 106R01159)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22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принтера 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Phaser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3124 (код 106R01159)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23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принтера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HP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LaserJet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1020 (код Q2612A)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24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принтера HP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LaserJet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1020 (код Q2612A)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25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SCX 4729FD (код SU718A)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26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SCX 4729FD (код SU718A)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27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принтера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Phaser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3435 (код 106R01414)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принтера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Phaser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3435 (код 106R01414)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29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WorkCentre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5024D (код 006R01573)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30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HP LJ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Pro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M428fdw  (код CF259XC)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7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31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</w:t>
            </w:r>
          </w:p>
          <w:p w:rsidR="001B0A7B" w:rsidRPr="00C355D2" w:rsidRDefault="001B0A7B" w:rsidP="00B07E2D">
            <w:pPr>
              <w:rPr>
                <w:sz w:val="22"/>
                <w:szCs w:val="22"/>
                <w:lang w:val="en-US" w:eastAsia="uk-UA"/>
              </w:rPr>
            </w:pPr>
            <w:r w:rsidRPr="00C355D2">
              <w:rPr>
                <w:sz w:val="22"/>
                <w:szCs w:val="22"/>
                <w:lang w:val="en-US" w:eastAsia="uk-UA"/>
              </w:rPr>
              <w:t>HP LJ Pro M428fdw  (</w:t>
            </w:r>
            <w:r w:rsidRPr="007E649E">
              <w:rPr>
                <w:sz w:val="22"/>
                <w:szCs w:val="22"/>
                <w:lang w:eastAsia="uk-UA"/>
              </w:rPr>
              <w:t>код</w:t>
            </w:r>
            <w:r w:rsidRPr="00C355D2">
              <w:rPr>
                <w:sz w:val="22"/>
                <w:szCs w:val="22"/>
                <w:lang w:val="en-US" w:eastAsia="uk-UA"/>
              </w:rPr>
              <w:t xml:space="preserve"> CF259XC)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32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SCX-4521F (код MLT-D119S)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33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Samsung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SCX-4521F (код MLT-D119S)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34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WorkCentre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3025 (код 106R02773)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85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35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Xerox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WorkCentre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3025 (код 106R02773)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36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картриджа до БФП </w:t>
            </w:r>
          </w:p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HP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Laser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Jet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E649E">
              <w:rPr>
                <w:sz w:val="22"/>
                <w:szCs w:val="22"/>
                <w:lang w:eastAsia="uk-UA"/>
              </w:rPr>
              <w:t>Pro</w:t>
            </w:r>
            <w:proofErr w:type="spellEnd"/>
            <w:r w:rsidRPr="007E649E">
              <w:rPr>
                <w:sz w:val="22"/>
                <w:szCs w:val="22"/>
                <w:lang w:eastAsia="uk-UA"/>
              </w:rPr>
              <w:t xml:space="preserve"> 4103fdn </w:t>
            </w:r>
          </w:p>
          <w:p w:rsidR="001B0A7B" w:rsidRPr="00BC0A48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(код 151A LJ (W1510A))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1B0A7B" w:rsidRPr="00BC0A48" w:rsidTr="00B07E2D">
        <w:trPr>
          <w:trHeight w:val="6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</w:pPr>
            <w:r w:rsidRPr="00BC0A48">
              <w:rPr>
                <w:sz w:val="22"/>
                <w:szCs w:val="22"/>
              </w:rPr>
              <w:t>37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 xml:space="preserve">Заправка з відновленням картриджа до БФП </w:t>
            </w:r>
          </w:p>
          <w:p w:rsidR="001B0A7B" w:rsidRPr="00C355D2" w:rsidRDefault="001B0A7B" w:rsidP="00B07E2D">
            <w:pPr>
              <w:rPr>
                <w:sz w:val="22"/>
                <w:szCs w:val="22"/>
                <w:lang w:val="en-US" w:eastAsia="uk-UA"/>
              </w:rPr>
            </w:pPr>
            <w:r w:rsidRPr="00C355D2">
              <w:rPr>
                <w:sz w:val="22"/>
                <w:szCs w:val="22"/>
                <w:lang w:val="en-US" w:eastAsia="uk-UA"/>
              </w:rPr>
              <w:t xml:space="preserve">HP Laser Jet Pro 4103fdn  </w:t>
            </w:r>
          </w:p>
          <w:p w:rsidR="001B0A7B" w:rsidRPr="00C355D2" w:rsidRDefault="001B0A7B" w:rsidP="00B07E2D">
            <w:pPr>
              <w:rPr>
                <w:sz w:val="22"/>
                <w:szCs w:val="22"/>
                <w:lang w:eastAsia="uk-UA"/>
              </w:rPr>
            </w:pPr>
            <w:r w:rsidRPr="00C355D2">
              <w:rPr>
                <w:sz w:val="22"/>
                <w:szCs w:val="22"/>
                <w:lang w:val="en-US" w:eastAsia="uk-UA"/>
              </w:rPr>
              <w:t>(</w:t>
            </w:r>
            <w:r w:rsidRPr="007E649E">
              <w:rPr>
                <w:sz w:val="22"/>
                <w:szCs w:val="22"/>
                <w:lang w:eastAsia="uk-UA"/>
              </w:rPr>
              <w:t>код</w:t>
            </w:r>
            <w:r w:rsidRPr="00C355D2">
              <w:rPr>
                <w:sz w:val="22"/>
                <w:szCs w:val="22"/>
                <w:lang w:val="en-US" w:eastAsia="uk-UA"/>
              </w:rPr>
              <w:t xml:space="preserve"> 151A LJ (W1510A))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BC0A48">
              <w:rPr>
                <w:sz w:val="22"/>
                <w:szCs w:val="22"/>
                <w:lang w:eastAsia="uk-UA"/>
              </w:rPr>
              <w:t>послуга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jc w:val="center"/>
              <w:rPr>
                <w:sz w:val="22"/>
                <w:szCs w:val="22"/>
                <w:lang w:eastAsia="uk-UA"/>
              </w:rPr>
            </w:pPr>
            <w:r w:rsidRPr="007E649E">
              <w:rPr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A7B" w:rsidRPr="00BC0A48" w:rsidRDefault="001B0A7B" w:rsidP="00B07E2D">
            <w:pPr>
              <w:snapToGrid w:val="0"/>
              <w:jc w:val="center"/>
              <w:rPr>
                <w:sz w:val="22"/>
                <w:szCs w:val="22"/>
                <w:lang w:eastAsia="uk-UA"/>
              </w:rPr>
            </w:pPr>
          </w:p>
        </w:tc>
      </w:tr>
    </w:tbl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7"/>
        </w:numPr>
        <w:suppressAutoHyphens w:val="0"/>
        <w:ind w:left="461" w:right="284" w:firstLine="0"/>
        <w:suppressOverlap/>
        <w:textAlignment w:val="auto"/>
        <w:outlineLvl w:val="0"/>
        <w:rPr>
          <w:b/>
        </w:rPr>
      </w:pPr>
      <w:r w:rsidRPr="00DB4DAA">
        <w:rPr>
          <w:b/>
        </w:rPr>
        <w:t>Заправка картриджа включає в себе: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8"/>
        </w:numPr>
        <w:suppressAutoHyphens w:val="0"/>
        <w:ind w:left="461" w:right="284" w:hanging="425"/>
        <w:suppressOverlap/>
        <w:textAlignment w:val="auto"/>
        <w:outlineLvl w:val="0"/>
      </w:pPr>
      <w:r w:rsidRPr="00DB4DAA">
        <w:t>первинне тестування картриджа;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8"/>
        </w:numPr>
        <w:suppressAutoHyphens w:val="0"/>
        <w:ind w:left="461" w:right="283" w:hanging="425"/>
        <w:suppressOverlap/>
        <w:textAlignment w:val="auto"/>
        <w:outlineLvl w:val="0"/>
      </w:pPr>
      <w:r w:rsidRPr="00DB4DAA">
        <w:t>повне розбирання картриджа та очистка від залишків тонера;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8"/>
        </w:numPr>
        <w:suppressAutoHyphens w:val="0"/>
        <w:ind w:left="461" w:right="283" w:hanging="425"/>
        <w:suppressOverlap/>
        <w:textAlignment w:val="auto"/>
        <w:outlineLvl w:val="0"/>
      </w:pPr>
      <w:r w:rsidRPr="00DB4DAA">
        <w:t>повну (об’єм визначається за моделлю картриджа) заправку тонером, якість якого відповідає технічним умовам виконання таких Послуг;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8"/>
        </w:numPr>
        <w:suppressAutoHyphens w:val="0"/>
        <w:ind w:left="461" w:right="283" w:hanging="425"/>
        <w:suppressOverlap/>
        <w:textAlignment w:val="auto"/>
        <w:outlineLvl w:val="0"/>
      </w:pPr>
      <w:r w:rsidRPr="00DB4DAA">
        <w:t>заміну чипа;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8"/>
        </w:numPr>
        <w:suppressAutoHyphens w:val="0"/>
        <w:ind w:left="461" w:right="283" w:hanging="425"/>
        <w:suppressOverlap/>
        <w:textAlignment w:val="auto"/>
        <w:outlineLvl w:val="0"/>
      </w:pPr>
      <w:r w:rsidRPr="00DB4DAA">
        <w:t>тестування заправленого картриджа;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8"/>
        </w:numPr>
        <w:suppressAutoHyphens w:val="0"/>
        <w:ind w:left="461" w:right="283" w:hanging="425"/>
        <w:suppressOverlap/>
        <w:textAlignment w:val="auto"/>
        <w:outlineLvl w:val="0"/>
      </w:pPr>
      <w:r w:rsidRPr="00DB4DAA">
        <w:t xml:space="preserve">маркування стікерами із </w:t>
      </w:r>
      <w:proofErr w:type="spellStart"/>
      <w:r w:rsidRPr="00DB4DAA">
        <w:t>заначенням</w:t>
      </w:r>
      <w:proofErr w:type="spellEnd"/>
      <w:r w:rsidRPr="00DB4DAA">
        <w:t xml:space="preserve"> дати надання Послуги та ваги.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7"/>
        </w:numPr>
        <w:suppressAutoHyphens w:val="0"/>
        <w:ind w:left="461" w:right="283" w:hanging="142"/>
        <w:suppressOverlap/>
        <w:textAlignment w:val="auto"/>
        <w:outlineLvl w:val="0"/>
        <w:rPr>
          <w:b/>
        </w:rPr>
      </w:pPr>
      <w:r w:rsidRPr="00DB4DAA">
        <w:rPr>
          <w:b/>
        </w:rPr>
        <w:t>Заправка з відновленням картриджа включає в себе: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9"/>
        </w:numPr>
        <w:suppressAutoHyphens w:val="0"/>
        <w:ind w:left="461" w:right="283" w:hanging="426"/>
        <w:suppressOverlap/>
        <w:textAlignment w:val="auto"/>
        <w:outlineLvl w:val="0"/>
      </w:pPr>
      <w:r w:rsidRPr="00DB4DAA">
        <w:t>первинне тестування картриджа;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9"/>
        </w:numPr>
        <w:suppressAutoHyphens w:val="0"/>
        <w:ind w:left="461" w:right="283" w:hanging="426"/>
        <w:suppressOverlap/>
        <w:textAlignment w:val="auto"/>
        <w:outlineLvl w:val="0"/>
      </w:pPr>
      <w:r w:rsidRPr="00DB4DAA">
        <w:t>повне розбирання картриджа та очистка від залишків тонера;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9"/>
        </w:numPr>
        <w:suppressAutoHyphens w:val="0"/>
        <w:ind w:left="461" w:right="283" w:hanging="426"/>
        <w:suppressOverlap/>
        <w:textAlignment w:val="auto"/>
        <w:outlineLvl w:val="0"/>
      </w:pPr>
      <w:r w:rsidRPr="00DB4DAA">
        <w:t xml:space="preserve">заміну </w:t>
      </w:r>
      <w:proofErr w:type="spellStart"/>
      <w:r w:rsidRPr="00DB4DAA">
        <w:t>фотобарабана</w:t>
      </w:r>
      <w:proofErr w:type="spellEnd"/>
      <w:r w:rsidRPr="00DB4DAA">
        <w:t xml:space="preserve"> та інших зношених частин картриджа;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9"/>
        </w:numPr>
        <w:suppressAutoHyphens w:val="0"/>
        <w:ind w:left="461" w:right="283" w:hanging="426"/>
        <w:suppressOverlap/>
        <w:textAlignment w:val="auto"/>
        <w:outlineLvl w:val="0"/>
      </w:pPr>
      <w:r w:rsidRPr="00DB4DAA">
        <w:t>повну (об’єм визначається за моделлю картриджа) заправку тонером, якість якого відповідає технічним умовам виконання таких послуг;</w:t>
      </w:r>
    </w:p>
    <w:p w:rsidR="001B0A7B" w:rsidRPr="00DB4DAA" w:rsidRDefault="001B0A7B" w:rsidP="001B0A7B">
      <w:pPr>
        <w:framePr w:hSpace="180" w:wrap="around" w:vAnchor="text" w:hAnchor="text" w:x="360" w:y="1"/>
        <w:widowControl/>
        <w:numPr>
          <w:ilvl w:val="0"/>
          <w:numId w:val="9"/>
        </w:numPr>
        <w:suppressAutoHyphens w:val="0"/>
        <w:ind w:left="461" w:right="283" w:hanging="426"/>
        <w:suppressOverlap/>
        <w:textAlignment w:val="auto"/>
        <w:outlineLvl w:val="0"/>
      </w:pPr>
      <w:r w:rsidRPr="00DB4DAA">
        <w:t>заміну чипа;</w:t>
      </w:r>
    </w:p>
    <w:p w:rsidR="001B0A7B" w:rsidRPr="00FE63D4" w:rsidRDefault="001B0A7B" w:rsidP="001B0A7B">
      <w:pPr>
        <w:framePr w:hSpace="180" w:wrap="around" w:vAnchor="text" w:hAnchor="text" w:x="360" w:y="1"/>
        <w:widowControl/>
        <w:numPr>
          <w:ilvl w:val="0"/>
          <w:numId w:val="9"/>
        </w:numPr>
        <w:suppressAutoHyphens w:val="0"/>
        <w:ind w:left="461" w:right="283" w:hanging="426"/>
        <w:suppressOverlap/>
        <w:textAlignment w:val="auto"/>
        <w:outlineLvl w:val="0"/>
      </w:pPr>
      <w:r w:rsidRPr="00DB4DAA">
        <w:t>тестування відновленого і заправленого картриджа.</w:t>
      </w:r>
    </w:p>
    <w:p w:rsidR="001B0A7B" w:rsidRPr="00FE63D4" w:rsidRDefault="001B0A7B" w:rsidP="001B0A7B">
      <w:pPr>
        <w:pStyle w:val="af"/>
        <w:framePr w:hSpace="180" w:wrap="around" w:vAnchor="text" w:hAnchor="text" w:x="360" w:y="1"/>
        <w:widowControl/>
        <w:numPr>
          <w:ilvl w:val="0"/>
          <w:numId w:val="9"/>
        </w:numPr>
        <w:suppressAutoHyphens w:val="0"/>
        <w:ind w:left="426" w:hanging="426"/>
        <w:contextualSpacing/>
        <w:suppressOverlap/>
        <w:textAlignment w:val="auto"/>
        <w:rPr>
          <w:rFonts w:cs="Times New Roman"/>
          <w:sz w:val="24"/>
          <w:szCs w:val="24"/>
        </w:rPr>
      </w:pPr>
      <w:proofErr w:type="spellStart"/>
      <w:r w:rsidRPr="00FE63D4">
        <w:rPr>
          <w:rFonts w:cs="Times New Roman"/>
          <w:sz w:val="24"/>
          <w:szCs w:val="24"/>
        </w:rPr>
        <w:t>маркування</w:t>
      </w:r>
      <w:proofErr w:type="spellEnd"/>
      <w:r w:rsidRPr="00FE63D4">
        <w:rPr>
          <w:rFonts w:cs="Times New Roman"/>
          <w:sz w:val="24"/>
          <w:szCs w:val="24"/>
        </w:rPr>
        <w:t xml:space="preserve"> </w:t>
      </w:r>
      <w:proofErr w:type="spellStart"/>
      <w:r w:rsidRPr="00FE63D4">
        <w:rPr>
          <w:rFonts w:cs="Times New Roman"/>
          <w:sz w:val="24"/>
          <w:szCs w:val="24"/>
        </w:rPr>
        <w:t>стікерами</w:t>
      </w:r>
      <w:proofErr w:type="spellEnd"/>
      <w:r w:rsidRPr="00FE63D4">
        <w:rPr>
          <w:rFonts w:cs="Times New Roman"/>
          <w:sz w:val="24"/>
          <w:szCs w:val="24"/>
        </w:rPr>
        <w:t xml:space="preserve"> </w:t>
      </w:r>
      <w:proofErr w:type="spellStart"/>
      <w:r w:rsidRPr="00FE63D4">
        <w:rPr>
          <w:rFonts w:cs="Times New Roman"/>
          <w:sz w:val="24"/>
          <w:szCs w:val="24"/>
        </w:rPr>
        <w:t>із</w:t>
      </w:r>
      <w:proofErr w:type="spellEnd"/>
      <w:r w:rsidRPr="00FE63D4">
        <w:rPr>
          <w:rFonts w:cs="Times New Roman"/>
          <w:sz w:val="24"/>
          <w:szCs w:val="24"/>
        </w:rPr>
        <w:t xml:space="preserve"> </w:t>
      </w:r>
      <w:proofErr w:type="spellStart"/>
      <w:r w:rsidRPr="00FE63D4">
        <w:rPr>
          <w:rFonts w:cs="Times New Roman"/>
          <w:sz w:val="24"/>
          <w:szCs w:val="24"/>
        </w:rPr>
        <w:t>заначенням</w:t>
      </w:r>
      <w:proofErr w:type="spellEnd"/>
      <w:r w:rsidRPr="00FE63D4">
        <w:rPr>
          <w:rFonts w:cs="Times New Roman"/>
          <w:sz w:val="24"/>
          <w:szCs w:val="24"/>
        </w:rPr>
        <w:t xml:space="preserve"> </w:t>
      </w:r>
      <w:proofErr w:type="spellStart"/>
      <w:r w:rsidRPr="00FE63D4">
        <w:rPr>
          <w:rFonts w:cs="Times New Roman"/>
          <w:sz w:val="24"/>
          <w:szCs w:val="24"/>
        </w:rPr>
        <w:t>дати</w:t>
      </w:r>
      <w:proofErr w:type="spellEnd"/>
      <w:r w:rsidRPr="00FE63D4">
        <w:rPr>
          <w:rFonts w:cs="Times New Roman"/>
          <w:sz w:val="24"/>
          <w:szCs w:val="24"/>
        </w:rPr>
        <w:t xml:space="preserve"> </w:t>
      </w:r>
      <w:proofErr w:type="spellStart"/>
      <w:r w:rsidRPr="00FE63D4">
        <w:rPr>
          <w:rFonts w:cs="Times New Roman"/>
          <w:sz w:val="24"/>
          <w:szCs w:val="24"/>
        </w:rPr>
        <w:t>надання</w:t>
      </w:r>
      <w:proofErr w:type="spellEnd"/>
      <w:r w:rsidRPr="00FE63D4">
        <w:rPr>
          <w:rFonts w:cs="Times New Roman"/>
          <w:sz w:val="24"/>
          <w:szCs w:val="24"/>
        </w:rPr>
        <w:t xml:space="preserve"> </w:t>
      </w:r>
      <w:proofErr w:type="spellStart"/>
      <w:r w:rsidRPr="00FE63D4">
        <w:rPr>
          <w:rFonts w:cs="Times New Roman"/>
          <w:sz w:val="24"/>
          <w:szCs w:val="24"/>
        </w:rPr>
        <w:t>Послуги</w:t>
      </w:r>
      <w:proofErr w:type="spellEnd"/>
      <w:r w:rsidRPr="00FE63D4">
        <w:rPr>
          <w:rFonts w:cs="Times New Roman"/>
          <w:sz w:val="24"/>
          <w:szCs w:val="24"/>
        </w:rPr>
        <w:t xml:space="preserve"> та ваги.</w:t>
      </w:r>
    </w:p>
    <w:p w:rsidR="001B0A7B" w:rsidRPr="00DB4DAA" w:rsidRDefault="001B0A7B" w:rsidP="001B0A7B">
      <w:pPr>
        <w:framePr w:hSpace="180" w:wrap="around" w:vAnchor="text" w:hAnchor="text" w:x="360" w:y="1"/>
        <w:suppressAutoHyphens w:val="0"/>
        <w:ind w:left="461" w:right="283"/>
        <w:suppressOverlap/>
        <w:outlineLvl w:val="0"/>
      </w:pPr>
    </w:p>
    <w:p w:rsidR="001B0A7B" w:rsidRPr="00C75406" w:rsidRDefault="001B0A7B" w:rsidP="001B0A7B">
      <w:pPr>
        <w:ind w:firstLine="567"/>
        <w:contextualSpacing/>
        <w:jc w:val="both"/>
        <w:rPr>
          <w:b/>
        </w:rPr>
      </w:pPr>
      <w:r>
        <w:rPr>
          <w:b/>
        </w:rPr>
        <w:t xml:space="preserve">ІІІ. </w:t>
      </w:r>
      <w:r w:rsidRPr="00C75406">
        <w:rPr>
          <w:b/>
        </w:rPr>
        <w:t>Учасник у складі тендерної пропозиції має надати документи на підтвердження про відповідність його пропозиції вимогам Замовника, а саме:</w:t>
      </w:r>
    </w:p>
    <w:p w:rsidR="001B0A7B" w:rsidRPr="00C75406" w:rsidRDefault="001B0A7B" w:rsidP="001B0A7B">
      <w:pPr>
        <w:ind w:firstLine="567"/>
        <w:jc w:val="both"/>
        <w:rPr>
          <w:lang w:eastAsia="en-US"/>
        </w:rPr>
      </w:pPr>
      <w:r w:rsidRPr="00C75406">
        <w:rPr>
          <w:lang w:eastAsia="en-US"/>
        </w:rPr>
        <w:t>1.</w:t>
      </w:r>
      <w:r>
        <w:rPr>
          <w:lang w:eastAsia="en-US"/>
        </w:rPr>
        <w:t xml:space="preserve"> </w:t>
      </w:r>
      <w:r w:rsidRPr="00C75406">
        <w:rPr>
          <w:lang w:eastAsia="en-US"/>
        </w:rPr>
        <w:t>Оригінал або копії документів, що підтверджують наявність в учасника станції очистки картриджів (технічний паспорт виданий учаснику або оборотно-сальдова відомість або витяг з неї/діючий договір оренди станції).</w:t>
      </w:r>
    </w:p>
    <w:p w:rsidR="001B0A7B" w:rsidRPr="00C75406" w:rsidRDefault="001B0A7B" w:rsidP="001B0A7B">
      <w:pPr>
        <w:ind w:firstLine="567"/>
        <w:jc w:val="both"/>
        <w:rPr>
          <w:lang w:eastAsia="en-US"/>
        </w:rPr>
      </w:pPr>
      <w:r>
        <w:rPr>
          <w:lang w:eastAsia="en-US"/>
        </w:rPr>
        <w:t>2</w:t>
      </w:r>
      <w:r w:rsidRPr="00C75406">
        <w:rPr>
          <w:lang w:eastAsia="en-US"/>
        </w:rPr>
        <w:t xml:space="preserve">. Документи щодо витратних матеріалів та запчастин. Витратні матеріали (тонер, </w:t>
      </w:r>
      <w:proofErr w:type="spellStart"/>
      <w:r w:rsidRPr="00C75406">
        <w:rPr>
          <w:lang w:eastAsia="en-US"/>
        </w:rPr>
        <w:t>фотоциліндри</w:t>
      </w:r>
      <w:proofErr w:type="spellEnd"/>
      <w:r w:rsidRPr="00C75406">
        <w:rPr>
          <w:lang w:eastAsia="en-US"/>
        </w:rPr>
        <w:t xml:space="preserve">, очищувальні та дозуючі леза валів магнітних та первинного заряду, чипи), які використовуватимуться при наданні </w:t>
      </w:r>
      <w:r>
        <w:rPr>
          <w:lang w:eastAsia="en-US"/>
        </w:rPr>
        <w:t>П</w:t>
      </w:r>
      <w:r w:rsidRPr="00C75406">
        <w:rPr>
          <w:lang w:eastAsia="en-US"/>
        </w:rPr>
        <w:t xml:space="preserve">ослуг, повинні бути новими, не перебувати під забороною відчуження, арештом, не бути предметом застави, а також не бути предметом </w:t>
      </w:r>
      <w:r w:rsidRPr="00C75406">
        <w:rPr>
          <w:lang w:eastAsia="en-US"/>
        </w:rPr>
        <w:lastRenderedPageBreak/>
        <w:t>будь-якого іншого обтяження чи обмеження, передбаченого чинним в Україні законодавством, щодо походження товарів з країн стосовно яких діє Закон України «Про санкції» від 14.08.2014 № 1644-VII  та тимчасово окупованих територій. На підтвердження учасник має надати:</w:t>
      </w:r>
    </w:p>
    <w:p w:rsidR="001B0A7B" w:rsidRPr="00C75406" w:rsidRDefault="001B0A7B" w:rsidP="001B0A7B">
      <w:pPr>
        <w:ind w:firstLine="567"/>
        <w:jc w:val="both"/>
        <w:rPr>
          <w:lang w:eastAsia="en-US"/>
        </w:rPr>
      </w:pPr>
      <w:r>
        <w:rPr>
          <w:lang w:eastAsia="en-US"/>
        </w:rPr>
        <w:t>2</w:t>
      </w:r>
      <w:r w:rsidRPr="00C75406">
        <w:rPr>
          <w:lang w:eastAsia="en-US"/>
        </w:rPr>
        <w:t xml:space="preserve">.1 Оригінал або копія завіреного уповноваженою особою сертифікату походження товару (копію інвойсу в разі імпорту) на витратні матеріали (тонеру, </w:t>
      </w:r>
      <w:proofErr w:type="spellStart"/>
      <w:r w:rsidRPr="00C75406">
        <w:rPr>
          <w:lang w:eastAsia="en-US"/>
        </w:rPr>
        <w:t>фотоциліндрів</w:t>
      </w:r>
      <w:proofErr w:type="spellEnd"/>
      <w:r w:rsidRPr="00C75406">
        <w:rPr>
          <w:lang w:eastAsia="en-US"/>
        </w:rPr>
        <w:t xml:space="preserve">, очищувальних та дозуючих лез валів магнітних та первинного заряду, чипів), що будуть використані для виконання </w:t>
      </w:r>
      <w:r>
        <w:rPr>
          <w:lang w:eastAsia="en-US"/>
        </w:rPr>
        <w:t>Послуг</w:t>
      </w:r>
      <w:r w:rsidRPr="00C75406">
        <w:rPr>
          <w:lang w:eastAsia="en-US"/>
        </w:rPr>
        <w:t>, виданий уповноваженою установою виробнику тонеру, відповідно до законодавства країни походження.</w:t>
      </w:r>
    </w:p>
    <w:p w:rsidR="001B0A7B" w:rsidRPr="00C75406" w:rsidRDefault="001B0A7B" w:rsidP="001B0A7B">
      <w:pPr>
        <w:tabs>
          <w:tab w:val="left" w:pos="1845"/>
        </w:tabs>
        <w:ind w:firstLine="567"/>
        <w:jc w:val="both"/>
        <w:rPr>
          <w:lang w:eastAsia="en-US"/>
        </w:rPr>
      </w:pPr>
      <w:r>
        <w:rPr>
          <w:lang w:eastAsia="en-US"/>
        </w:rPr>
        <w:t>3</w:t>
      </w:r>
      <w:r w:rsidRPr="00C75406">
        <w:rPr>
          <w:lang w:eastAsia="en-US"/>
        </w:rPr>
        <w:t xml:space="preserve">. Гарантійний лист за підписом учасника про: </w:t>
      </w:r>
    </w:p>
    <w:p w:rsidR="001B0A7B" w:rsidRPr="00C75406" w:rsidRDefault="001B0A7B" w:rsidP="001B0A7B">
      <w:pPr>
        <w:pStyle w:val="af"/>
        <w:widowControl/>
        <w:numPr>
          <w:ilvl w:val="0"/>
          <w:numId w:val="6"/>
        </w:numPr>
        <w:tabs>
          <w:tab w:val="clear" w:pos="720"/>
          <w:tab w:val="num" w:pos="502"/>
          <w:tab w:val="left" w:pos="851"/>
        </w:tabs>
        <w:suppressAutoHyphens w:val="0"/>
        <w:ind w:left="0" w:firstLine="567"/>
        <w:contextualSpacing/>
        <w:jc w:val="both"/>
        <w:textAlignment w:val="auto"/>
        <w:rPr>
          <w:rFonts w:cs="Times New Roman"/>
          <w:sz w:val="24"/>
          <w:szCs w:val="24"/>
          <w:lang w:eastAsia="en-US"/>
        </w:rPr>
      </w:pPr>
      <w:proofErr w:type="spellStart"/>
      <w:r w:rsidRPr="00C75406">
        <w:rPr>
          <w:rFonts w:cs="Times New Roman"/>
          <w:sz w:val="24"/>
          <w:szCs w:val="24"/>
          <w:lang w:eastAsia="en-US"/>
        </w:rPr>
        <w:t>гарантійні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обов’язки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на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запропоновані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витратні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матеріали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та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з</w:t>
      </w:r>
      <w:r>
        <w:rPr>
          <w:rFonts w:cs="Times New Roman"/>
          <w:sz w:val="24"/>
          <w:szCs w:val="24"/>
          <w:lang w:eastAsia="en-US"/>
        </w:rPr>
        <w:t>апчастини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- не </w:t>
      </w:r>
      <w:proofErr w:type="spellStart"/>
      <w:r>
        <w:rPr>
          <w:rFonts w:cs="Times New Roman"/>
          <w:sz w:val="24"/>
          <w:szCs w:val="24"/>
          <w:lang w:eastAsia="en-US"/>
        </w:rPr>
        <w:t>менше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12 </w:t>
      </w:r>
      <w:proofErr w:type="spellStart"/>
      <w:r>
        <w:rPr>
          <w:rFonts w:cs="Times New Roman"/>
          <w:sz w:val="24"/>
          <w:szCs w:val="24"/>
          <w:lang w:eastAsia="en-US"/>
        </w:rPr>
        <w:t>місяців</w:t>
      </w:r>
      <w:proofErr w:type="spellEnd"/>
      <w:r>
        <w:rPr>
          <w:rFonts w:cs="Times New Roman"/>
          <w:sz w:val="24"/>
          <w:szCs w:val="24"/>
          <w:lang w:eastAsia="en-US"/>
        </w:rPr>
        <w:t>;</w:t>
      </w:r>
      <w:r w:rsidRPr="00C75406">
        <w:rPr>
          <w:rFonts w:cs="Times New Roman"/>
          <w:sz w:val="24"/>
          <w:szCs w:val="24"/>
          <w:lang w:eastAsia="en-US"/>
        </w:rPr>
        <w:t xml:space="preserve"> </w:t>
      </w:r>
    </w:p>
    <w:p w:rsidR="001B0A7B" w:rsidRPr="00C75406" w:rsidRDefault="001B0A7B" w:rsidP="001B0A7B">
      <w:pPr>
        <w:pStyle w:val="af"/>
        <w:widowControl/>
        <w:numPr>
          <w:ilvl w:val="0"/>
          <w:numId w:val="6"/>
        </w:numPr>
        <w:tabs>
          <w:tab w:val="clear" w:pos="720"/>
          <w:tab w:val="num" w:pos="502"/>
          <w:tab w:val="left" w:pos="851"/>
        </w:tabs>
        <w:suppressAutoHyphens w:val="0"/>
        <w:ind w:left="0" w:firstLine="567"/>
        <w:contextualSpacing/>
        <w:jc w:val="both"/>
        <w:textAlignment w:val="auto"/>
        <w:rPr>
          <w:rFonts w:cs="Times New Roman"/>
          <w:sz w:val="24"/>
          <w:szCs w:val="24"/>
          <w:lang w:eastAsia="en-US"/>
        </w:rPr>
      </w:pPr>
      <w:proofErr w:type="spellStart"/>
      <w:r w:rsidRPr="00C75406">
        <w:rPr>
          <w:rFonts w:cs="Times New Roman"/>
          <w:sz w:val="24"/>
          <w:szCs w:val="24"/>
          <w:lang w:eastAsia="en-US"/>
        </w:rPr>
        <w:t>виконання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вимог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до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тари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та упаковки –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картриджі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повинні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окремо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упаковуватись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у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герметичні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світлонепроникні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пакети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та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мати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індивідуальне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Pr="00C75406">
        <w:rPr>
          <w:rFonts w:cs="Times New Roman"/>
          <w:sz w:val="24"/>
          <w:szCs w:val="24"/>
          <w:lang w:eastAsia="en-US"/>
        </w:rPr>
        <w:t>маркування</w:t>
      </w:r>
      <w:proofErr w:type="spellEnd"/>
      <w:r w:rsidRPr="00C75406">
        <w:rPr>
          <w:rFonts w:cs="Times New Roman"/>
          <w:sz w:val="24"/>
          <w:szCs w:val="24"/>
          <w:lang w:eastAsia="en-US"/>
        </w:rPr>
        <w:t>.</w:t>
      </w:r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Всередині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упаковки </w:t>
      </w:r>
      <w:proofErr w:type="spellStart"/>
      <w:r>
        <w:rPr>
          <w:rFonts w:cs="Times New Roman"/>
          <w:sz w:val="24"/>
          <w:szCs w:val="24"/>
          <w:lang w:eastAsia="en-US"/>
        </w:rPr>
        <w:t>має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знаходитись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роздруківка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тестової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сторінки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cs="Times New Roman"/>
          <w:sz w:val="24"/>
          <w:szCs w:val="24"/>
          <w:lang w:eastAsia="en-US"/>
        </w:rPr>
        <w:t>що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підтверджує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якість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наданих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Послуг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. На </w:t>
      </w:r>
      <w:proofErr w:type="spellStart"/>
      <w:r>
        <w:rPr>
          <w:rFonts w:cs="Times New Roman"/>
          <w:sz w:val="24"/>
          <w:szCs w:val="24"/>
          <w:lang w:eastAsia="en-US"/>
        </w:rPr>
        <w:t>тестовій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сторінці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не </w:t>
      </w:r>
      <w:proofErr w:type="spellStart"/>
      <w:r>
        <w:rPr>
          <w:rFonts w:cs="Times New Roman"/>
          <w:sz w:val="24"/>
          <w:szCs w:val="24"/>
          <w:lang w:eastAsia="en-US"/>
        </w:rPr>
        <w:t>має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бути </w:t>
      </w:r>
      <w:proofErr w:type="spellStart"/>
      <w:r>
        <w:rPr>
          <w:rFonts w:cs="Times New Roman"/>
          <w:sz w:val="24"/>
          <w:szCs w:val="24"/>
          <w:lang w:eastAsia="en-US"/>
        </w:rPr>
        <w:t>дефектів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зображення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cs="Times New Roman"/>
          <w:sz w:val="24"/>
          <w:szCs w:val="24"/>
          <w:lang w:eastAsia="en-US"/>
        </w:rPr>
        <w:t>розмитого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чи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нечіткого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зображення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cs="Times New Roman"/>
          <w:sz w:val="24"/>
          <w:szCs w:val="24"/>
          <w:lang w:eastAsia="en-US"/>
        </w:rPr>
        <w:t>плям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cs="Times New Roman"/>
          <w:sz w:val="24"/>
          <w:szCs w:val="24"/>
          <w:lang w:eastAsia="en-US"/>
        </w:rPr>
        <w:t>точок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, фону в тому </w:t>
      </w:r>
      <w:proofErr w:type="spellStart"/>
      <w:r>
        <w:rPr>
          <w:rFonts w:cs="Times New Roman"/>
          <w:sz w:val="24"/>
          <w:szCs w:val="24"/>
          <w:lang w:eastAsia="en-US"/>
        </w:rPr>
        <w:t>числі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і на </w:t>
      </w:r>
      <w:proofErr w:type="spellStart"/>
      <w:r>
        <w:rPr>
          <w:rFonts w:cs="Times New Roman"/>
          <w:sz w:val="24"/>
          <w:szCs w:val="24"/>
          <w:lang w:eastAsia="en-US"/>
        </w:rPr>
        <w:t>зворотній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стороні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cs="Times New Roman"/>
          <w:sz w:val="24"/>
          <w:szCs w:val="24"/>
          <w:lang w:eastAsia="en-US"/>
        </w:rPr>
        <w:t>відбитку</w:t>
      </w:r>
      <w:proofErr w:type="spellEnd"/>
      <w:r>
        <w:rPr>
          <w:rFonts w:cs="Times New Roman"/>
          <w:sz w:val="24"/>
          <w:szCs w:val="24"/>
          <w:lang w:eastAsia="en-US"/>
        </w:rPr>
        <w:t xml:space="preserve">. </w:t>
      </w:r>
    </w:p>
    <w:p w:rsidR="001B0A7B" w:rsidRPr="00C75406" w:rsidRDefault="001B0A7B" w:rsidP="001B0A7B">
      <w:pPr>
        <w:ind w:firstLine="567"/>
        <w:jc w:val="both"/>
        <w:rPr>
          <w:lang w:eastAsia="en-US"/>
        </w:rPr>
      </w:pPr>
      <w:r w:rsidRPr="00B571EA">
        <w:rPr>
          <w:lang w:eastAsia="en-US"/>
        </w:rPr>
        <w:t xml:space="preserve">4. Оригінал або копії сертифікатів міжнародного зразка, про наявність у виробника (або імпортера) запропонованих витратних матеріалів (тонеру, </w:t>
      </w:r>
      <w:proofErr w:type="spellStart"/>
      <w:r w:rsidRPr="00B571EA">
        <w:rPr>
          <w:lang w:eastAsia="en-US"/>
        </w:rPr>
        <w:t>фотоциліндрів</w:t>
      </w:r>
      <w:proofErr w:type="spellEnd"/>
      <w:r w:rsidRPr="00B571EA">
        <w:rPr>
          <w:lang w:eastAsia="en-US"/>
        </w:rPr>
        <w:t xml:space="preserve">, очищувальних та дозуючих лез валів магнітних та первинного заряду, чипів) системи управління якістю </w:t>
      </w:r>
      <w:r w:rsidRPr="00C75406">
        <w:rPr>
          <w:lang w:eastAsia="en-US"/>
        </w:rPr>
        <w:t>ISO 9001:2015 та системи екологічного управління ISO 14001:2015, виданих органом з сертифікації систем менеджменту, який офіційно акредитований Національним агентством з акредитації України, дійсних на момент подання пропозицій. Надати копію атестату про акредитацію організації, яка сертифікувала системи менеджменту, у відповідності до вимог ДСТУ EN ISO/IEC 17021-1:2017 (ISO/IEC 17021-1:2015).</w:t>
      </w:r>
    </w:p>
    <w:p w:rsidR="001B0A7B" w:rsidRDefault="001B0A7B" w:rsidP="001B0A7B">
      <w:pPr>
        <w:ind w:firstLine="567"/>
        <w:jc w:val="both"/>
        <w:rPr>
          <w:lang w:eastAsia="en-US"/>
        </w:rPr>
      </w:pPr>
      <w:r>
        <w:rPr>
          <w:lang w:eastAsia="en-US"/>
        </w:rPr>
        <w:t>5</w:t>
      </w:r>
      <w:r w:rsidRPr="00C75406">
        <w:rPr>
          <w:lang w:eastAsia="en-US"/>
        </w:rPr>
        <w:t xml:space="preserve">. В разі якщо Учасник не є виробником/імпортером витратних матеріалів (тонеру, </w:t>
      </w:r>
      <w:proofErr w:type="spellStart"/>
      <w:r w:rsidRPr="00C75406">
        <w:rPr>
          <w:lang w:eastAsia="en-US"/>
        </w:rPr>
        <w:t>фотоциліндрів</w:t>
      </w:r>
      <w:proofErr w:type="spellEnd"/>
      <w:r w:rsidRPr="00C75406">
        <w:rPr>
          <w:lang w:eastAsia="en-US"/>
        </w:rPr>
        <w:t>, очищувальних та дозуючих лез валів магнітних та первинного заряду, чипів), необхідно додатково надати у складі своєї пропозиції оригінал листа авторизації Учасника, в якому буде зазначено, що учасник є авторизованим партнером або офіційним представником виробника/імпортера. Даний лист повинен бути адресований Замовнику торгів та містити ідентифікатор закупівлі та назву предмету закупівлі.</w:t>
      </w:r>
    </w:p>
    <w:p w:rsidR="001B0A7B" w:rsidRDefault="001B0A7B" w:rsidP="001B0A7B">
      <w:pPr>
        <w:tabs>
          <w:tab w:val="left" w:pos="1080"/>
        </w:tabs>
        <w:jc w:val="both"/>
        <w:rPr>
          <w:i/>
          <w:iCs/>
        </w:rPr>
      </w:pPr>
    </w:p>
    <w:p w:rsidR="001B0A7B" w:rsidRPr="00531152" w:rsidRDefault="001B0A7B" w:rsidP="001B0A7B">
      <w:pPr>
        <w:tabs>
          <w:tab w:val="left" w:pos="1080"/>
        </w:tabs>
        <w:jc w:val="both"/>
        <w:rPr>
          <w:u w:val="single"/>
        </w:rPr>
      </w:pPr>
      <w:r w:rsidRPr="00531152">
        <w:tab/>
      </w:r>
      <w:r w:rsidRPr="00531152">
        <w:rPr>
          <w:u w:val="single"/>
        </w:rPr>
        <w:t xml:space="preserve">Документи вказані в пунктах </w:t>
      </w:r>
      <w:r>
        <w:rPr>
          <w:u w:val="single"/>
        </w:rPr>
        <w:t>2</w:t>
      </w:r>
      <w:r w:rsidRPr="00531152">
        <w:rPr>
          <w:u w:val="single"/>
        </w:rPr>
        <w:t>,</w:t>
      </w:r>
      <w:r>
        <w:rPr>
          <w:u w:val="single"/>
        </w:rPr>
        <w:t xml:space="preserve"> 4</w:t>
      </w:r>
      <w:r w:rsidRPr="00531152">
        <w:rPr>
          <w:u w:val="single"/>
        </w:rPr>
        <w:t>,</w:t>
      </w:r>
      <w:r>
        <w:rPr>
          <w:u w:val="single"/>
        </w:rPr>
        <w:t xml:space="preserve"> 5</w:t>
      </w:r>
      <w:r w:rsidRPr="00531152">
        <w:rPr>
          <w:u w:val="single"/>
        </w:rPr>
        <w:t xml:space="preserve"> повинні належати одному виробнику/імпортеру</w:t>
      </w:r>
      <w:r>
        <w:rPr>
          <w:u w:val="single"/>
        </w:rPr>
        <w:t xml:space="preserve"> витратних матеріалів</w:t>
      </w:r>
      <w:r w:rsidRPr="00531152">
        <w:rPr>
          <w:u w:val="single"/>
        </w:rPr>
        <w:t>.</w:t>
      </w:r>
    </w:p>
    <w:p w:rsidR="001B0A7B" w:rsidRPr="00DB4DAA" w:rsidRDefault="001B0A7B" w:rsidP="001B0A7B">
      <w:pPr>
        <w:jc w:val="center"/>
        <w:rPr>
          <w:b/>
          <w:sz w:val="28"/>
          <w:szCs w:val="28"/>
        </w:rPr>
      </w:pPr>
    </w:p>
    <w:p w:rsidR="001B0A7B" w:rsidRPr="00E56BB5" w:rsidRDefault="001B0A7B" w:rsidP="001B0A7B">
      <w:pPr>
        <w:ind w:firstLine="567"/>
        <w:jc w:val="both"/>
        <w:rPr>
          <w:lang w:eastAsia="en-US"/>
        </w:rPr>
      </w:pPr>
    </w:p>
    <w:p w:rsidR="00CE0481" w:rsidRPr="001B0A7B" w:rsidRDefault="00CE0481" w:rsidP="001B0A7B">
      <w:pPr>
        <w:tabs>
          <w:tab w:val="left" w:pos="1080"/>
        </w:tabs>
        <w:jc w:val="both"/>
        <w:rPr>
          <w:spacing w:val="-5"/>
          <w:highlight w:val="yellow"/>
        </w:rPr>
      </w:pPr>
    </w:p>
    <w:p w:rsidR="00CE0481" w:rsidRPr="003C5AA5" w:rsidRDefault="00CE0481" w:rsidP="00CE0481">
      <w:pPr>
        <w:jc w:val="both"/>
        <w:rPr>
          <w:rFonts w:ascii="Times New Roman" w:hAnsi="Times New Roman"/>
          <w:sz w:val="28"/>
          <w:szCs w:val="28"/>
        </w:rPr>
      </w:pPr>
      <w:r w:rsidRPr="003C5AA5">
        <w:rPr>
          <w:rFonts w:ascii="Times New Roman" w:hAnsi="Times New Roman"/>
          <w:sz w:val="28"/>
          <w:szCs w:val="28"/>
        </w:rPr>
        <w:t xml:space="preserve">Начальник управління </w:t>
      </w:r>
    </w:p>
    <w:p w:rsidR="00CE0481" w:rsidRPr="003C5AA5" w:rsidRDefault="00CE0481" w:rsidP="00CE0481">
      <w:pPr>
        <w:jc w:val="both"/>
        <w:rPr>
          <w:rFonts w:ascii="Times New Roman" w:hAnsi="Times New Roman"/>
          <w:sz w:val="28"/>
          <w:szCs w:val="28"/>
        </w:rPr>
      </w:pPr>
      <w:r w:rsidRPr="003C5AA5">
        <w:rPr>
          <w:rFonts w:ascii="Times New Roman" w:hAnsi="Times New Roman"/>
          <w:sz w:val="28"/>
          <w:szCs w:val="28"/>
        </w:rPr>
        <w:t xml:space="preserve">інфраструктури та </w:t>
      </w:r>
    </w:p>
    <w:p w:rsidR="00CE0481" w:rsidRPr="003C5AA5" w:rsidRDefault="00CE0481" w:rsidP="00CE0481">
      <w:pPr>
        <w:jc w:val="both"/>
        <w:rPr>
          <w:rFonts w:ascii="Times New Roman" w:hAnsi="Times New Roman"/>
          <w:sz w:val="28"/>
          <w:szCs w:val="28"/>
        </w:rPr>
      </w:pPr>
      <w:r w:rsidRPr="003C5AA5">
        <w:rPr>
          <w:rFonts w:ascii="Times New Roman" w:hAnsi="Times New Roman"/>
          <w:sz w:val="28"/>
          <w:szCs w:val="28"/>
        </w:rPr>
        <w:t>господарського забезпечення</w:t>
      </w:r>
      <w:r w:rsidRPr="003C5AA5">
        <w:rPr>
          <w:rFonts w:ascii="Times New Roman" w:hAnsi="Times New Roman"/>
          <w:sz w:val="28"/>
          <w:szCs w:val="28"/>
        </w:rPr>
        <w:tab/>
      </w:r>
      <w:r w:rsidRPr="003C5AA5">
        <w:rPr>
          <w:rFonts w:ascii="Times New Roman" w:hAnsi="Times New Roman"/>
          <w:sz w:val="28"/>
          <w:szCs w:val="28"/>
        </w:rPr>
        <w:tab/>
      </w:r>
      <w:r w:rsidRPr="003C5AA5">
        <w:rPr>
          <w:rFonts w:ascii="Times New Roman" w:hAnsi="Times New Roman"/>
          <w:sz w:val="28"/>
          <w:szCs w:val="28"/>
        </w:rPr>
        <w:tab/>
      </w:r>
      <w:r w:rsidRPr="003C5AA5">
        <w:rPr>
          <w:rFonts w:ascii="Times New Roman" w:hAnsi="Times New Roman"/>
          <w:sz w:val="28"/>
          <w:szCs w:val="28"/>
        </w:rPr>
        <w:tab/>
      </w:r>
      <w:r w:rsidRPr="003C5AA5">
        <w:rPr>
          <w:rFonts w:ascii="Times New Roman" w:hAnsi="Times New Roman"/>
          <w:sz w:val="28"/>
          <w:szCs w:val="28"/>
        </w:rPr>
        <w:tab/>
        <w:t xml:space="preserve">            Андрій ПОЛУЯН</w:t>
      </w:r>
    </w:p>
    <w:p w:rsidR="006633F6" w:rsidRPr="003C5AA5" w:rsidRDefault="006633F6" w:rsidP="00B443CC">
      <w:pPr>
        <w:pStyle w:val="11"/>
        <w:spacing w:after="0"/>
        <w:jc w:val="center"/>
        <w:rPr>
          <w:sz w:val="20"/>
          <w:szCs w:val="20"/>
        </w:rPr>
      </w:pPr>
    </w:p>
    <w:sectPr w:rsidR="006633F6" w:rsidRPr="003C5AA5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86195F"/>
    <w:multiLevelType w:val="hybridMultilevel"/>
    <w:tmpl w:val="F748123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656E7"/>
    <w:multiLevelType w:val="hybridMultilevel"/>
    <w:tmpl w:val="8A28A9A6"/>
    <w:lvl w:ilvl="0" w:tplc="DED8A030">
      <w:start w:val="1"/>
      <w:numFmt w:val="upperRoman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7E01C17"/>
    <w:multiLevelType w:val="hybridMultilevel"/>
    <w:tmpl w:val="3DA67DEC"/>
    <w:lvl w:ilvl="0" w:tplc="308CEFC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79FE4D07"/>
    <w:multiLevelType w:val="hybridMultilevel"/>
    <w:tmpl w:val="354CF7C6"/>
    <w:lvl w:ilvl="0" w:tplc="B0CC0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6"/>
    <w:rsid w:val="00065A48"/>
    <w:rsid w:val="000C5C91"/>
    <w:rsid w:val="001759BE"/>
    <w:rsid w:val="00180D82"/>
    <w:rsid w:val="001B0A7B"/>
    <w:rsid w:val="002473CA"/>
    <w:rsid w:val="002A04D0"/>
    <w:rsid w:val="00345547"/>
    <w:rsid w:val="00376AA0"/>
    <w:rsid w:val="003C5AA5"/>
    <w:rsid w:val="00462FBC"/>
    <w:rsid w:val="00596A38"/>
    <w:rsid w:val="0064761C"/>
    <w:rsid w:val="006633F6"/>
    <w:rsid w:val="006C3BDE"/>
    <w:rsid w:val="00700A46"/>
    <w:rsid w:val="00717A72"/>
    <w:rsid w:val="007409D3"/>
    <w:rsid w:val="008C7D84"/>
    <w:rsid w:val="00973EEF"/>
    <w:rsid w:val="009968F5"/>
    <w:rsid w:val="009C4FCC"/>
    <w:rsid w:val="009E20C3"/>
    <w:rsid w:val="00A167B3"/>
    <w:rsid w:val="00B443CC"/>
    <w:rsid w:val="00BA77DE"/>
    <w:rsid w:val="00BB5148"/>
    <w:rsid w:val="00BF6A44"/>
    <w:rsid w:val="00C216B2"/>
    <w:rsid w:val="00CE0481"/>
    <w:rsid w:val="00D97726"/>
    <w:rsid w:val="00DC70A9"/>
    <w:rsid w:val="00E33A0B"/>
    <w:rsid w:val="00E57D3E"/>
    <w:rsid w:val="00EA5A0C"/>
    <w:rsid w:val="00EB6D72"/>
    <w:rsid w:val="00F12545"/>
    <w:rsid w:val="00F52268"/>
    <w:rsid w:val="00F5240A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02CAC-AF3F-462E-A83F-CB851212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f">
    <w:name w:val="List Paragraph"/>
    <w:aliases w:val="1 Буллет,Список уровня 2,AC List 01,Number Bullets,List Paragraph (numbered (a)),название табл/рис,Chapter10,Литература,Bullet Number,Bullet 1,Use Case List Paragraph,lp1,lp11,List Paragraph11,Elenco Normale,List Paragraph,EBRD List"/>
    <w:basedOn w:val="a"/>
    <w:link w:val="af0"/>
    <w:uiPriority w:val="34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character" w:customStyle="1" w:styleId="af0">
    <w:name w:val="Абзац списка Знак"/>
    <w:aliases w:val="1 Буллет Знак,Список уровня 2 Знак,AC List 01 Знак,Number Bullets Знак,List Paragraph (numbered (a)) Знак,название табл/рис Знак,Chapter10 Знак,Литература Знак,Bullet Number Знак,Bullet 1 Знак,Use Case List Paragraph Знак,lp1 Знак"/>
    <w:link w:val="af"/>
    <w:uiPriority w:val="34"/>
    <w:locked/>
    <w:rsid w:val="00BB5148"/>
    <w:rPr>
      <w:rFonts w:ascii="Times New Roman" w:hAnsi="Times New Roman"/>
      <w:color w:val="000000"/>
      <w:sz w:val="20"/>
      <w:szCs w:val="20"/>
      <w:lang w:val="ru-RU"/>
    </w:rPr>
  </w:style>
  <w:style w:type="paragraph" w:styleId="afa">
    <w:name w:val="Normal (Web)"/>
    <w:basedOn w:val="a"/>
    <w:qFormat/>
    <w:rsid w:val="00BA77DE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5809</Words>
  <Characters>3312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dc:description/>
  <cp:lastModifiedBy>ПАВЛЮК ТЕТЯНА ІВАНІВНА</cp:lastModifiedBy>
  <cp:revision>2</cp:revision>
  <cp:lastPrinted>2025-02-04T07:19:00Z</cp:lastPrinted>
  <dcterms:created xsi:type="dcterms:W3CDTF">2025-02-04T09:25:00Z</dcterms:created>
  <dcterms:modified xsi:type="dcterms:W3CDTF">2025-02-04T09:25:00Z</dcterms:modified>
  <dc:language>uk-UA</dc:language>
</cp:coreProperties>
</file>